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3377C4" w:rsidP="00997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DF76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bookmarkStart w:id="0" w:name="_GoBack"/>
      <w:bookmarkEnd w:id="0"/>
      <w:proofErr w:type="gramEnd"/>
      <w:r w:rsidR="00847E92">
        <w:rPr>
          <w:rFonts w:ascii="Times New Roman" w:hAnsi="Times New Roman" w:cs="Times New Roman"/>
          <w:b/>
          <w:sz w:val="28"/>
          <w:szCs w:val="28"/>
        </w:rPr>
        <w:t xml:space="preserve"> мониторинга антикоррупционного законодательства в органах местного самоуправления МО «</w:t>
      </w:r>
      <w:proofErr w:type="spellStart"/>
      <w:r w:rsidR="00847E92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847E92">
        <w:rPr>
          <w:rFonts w:ascii="Times New Roman" w:hAnsi="Times New Roman" w:cs="Times New Roman"/>
          <w:b/>
          <w:sz w:val="28"/>
          <w:szCs w:val="28"/>
        </w:rPr>
        <w:t xml:space="preserve"> район» (по заданию Прокуратуры)</w:t>
      </w:r>
      <w:r w:rsidR="004A47C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628A3" w:rsidRPr="008D2307" w:rsidRDefault="008D2307" w:rsidP="008D2307">
      <w:pPr>
        <w:shd w:val="clear" w:color="auto" w:fill="FFFFFF"/>
        <w:spacing w:after="0"/>
        <w:jc w:val="both"/>
        <w:rPr>
          <w:bCs/>
          <w:spacing w:val="-1"/>
          <w:sz w:val="28"/>
          <w:szCs w:val="28"/>
        </w:rPr>
      </w:pPr>
      <w:r w:rsidRPr="008D2307">
        <w:rPr>
          <w:bCs/>
          <w:spacing w:val="-1"/>
          <w:sz w:val="28"/>
          <w:szCs w:val="28"/>
        </w:rPr>
        <w:t xml:space="preserve">   Контрольно-счетной комиссией проведен</w:t>
      </w:r>
      <w:r w:rsidR="002628A3" w:rsidRPr="008D2307">
        <w:rPr>
          <w:bCs/>
          <w:spacing w:val="-1"/>
          <w:sz w:val="28"/>
          <w:szCs w:val="28"/>
        </w:rPr>
        <w:t xml:space="preserve"> мониторинг исполнения антикоррупционного законодательства, а также о муниципальной службе органами местного самоуправления муниципального образования «</w:t>
      </w:r>
      <w:proofErr w:type="spellStart"/>
      <w:r w:rsidR="002628A3" w:rsidRPr="008D2307">
        <w:rPr>
          <w:bCs/>
          <w:spacing w:val="-1"/>
          <w:sz w:val="28"/>
          <w:szCs w:val="28"/>
        </w:rPr>
        <w:t>Нукутский</w:t>
      </w:r>
      <w:proofErr w:type="spellEnd"/>
      <w:r w:rsidR="002628A3" w:rsidRPr="008D2307">
        <w:rPr>
          <w:bCs/>
          <w:spacing w:val="-1"/>
          <w:sz w:val="28"/>
          <w:szCs w:val="28"/>
        </w:rPr>
        <w:t xml:space="preserve"> район».</w:t>
      </w:r>
    </w:p>
    <w:p w:rsidR="008D2307" w:rsidRDefault="008D2307" w:rsidP="008D2307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2628A3" w:rsidRPr="00AC0182">
        <w:rPr>
          <w:spacing w:val="-2"/>
          <w:sz w:val="28"/>
          <w:szCs w:val="28"/>
        </w:rPr>
        <w:t xml:space="preserve"> </w:t>
      </w:r>
      <w:r w:rsidR="002628A3" w:rsidRPr="008D2307">
        <w:rPr>
          <w:spacing w:val="-2"/>
          <w:sz w:val="28"/>
          <w:szCs w:val="28"/>
        </w:rPr>
        <w:t>Основание проведения контрольного мероприятия</w:t>
      </w:r>
      <w:r w:rsidR="002628A3" w:rsidRPr="00AC0182">
        <w:rPr>
          <w:spacing w:val="-2"/>
          <w:sz w:val="28"/>
          <w:szCs w:val="28"/>
        </w:rPr>
        <w:t xml:space="preserve">: </w:t>
      </w:r>
      <w:r w:rsidR="002628A3">
        <w:rPr>
          <w:spacing w:val="-2"/>
          <w:sz w:val="28"/>
          <w:szCs w:val="28"/>
        </w:rPr>
        <w:t xml:space="preserve">Федеральный закон от 07.02.2011 № 6-ФЗ «Об общих принципах организации и деятельности КСО субъектов РФ и муниципальных образований», </w:t>
      </w:r>
      <w:r w:rsidR="002628A3" w:rsidRPr="00AC0182">
        <w:rPr>
          <w:spacing w:val="-2"/>
          <w:sz w:val="28"/>
          <w:szCs w:val="28"/>
        </w:rPr>
        <w:t>Положение о Контрольно – счетной комиссии  муниципального образования «</w:t>
      </w:r>
      <w:proofErr w:type="spellStart"/>
      <w:r w:rsidR="002628A3" w:rsidRPr="00AC0182">
        <w:rPr>
          <w:spacing w:val="-2"/>
          <w:sz w:val="28"/>
          <w:szCs w:val="28"/>
        </w:rPr>
        <w:t>Нукутский</w:t>
      </w:r>
      <w:proofErr w:type="spellEnd"/>
      <w:r w:rsidR="002628A3" w:rsidRPr="00AC0182">
        <w:rPr>
          <w:spacing w:val="-2"/>
          <w:sz w:val="28"/>
          <w:szCs w:val="28"/>
        </w:rPr>
        <w:t xml:space="preserve"> район», утвержденного решением Думы МО «</w:t>
      </w:r>
      <w:proofErr w:type="spellStart"/>
      <w:r w:rsidR="002628A3" w:rsidRPr="00AC0182">
        <w:rPr>
          <w:spacing w:val="-2"/>
          <w:sz w:val="28"/>
          <w:szCs w:val="28"/>
        </w:rPr>
        <w:t>Нукутский</w:t>
      </w:r>
      <w:proofErr w:type="spellEnd"/>
      <w:r w:rsidR="002628A3" w:rsidRPr="00AC0182">
        <w:rPr>
          <w:spacing w:val="-2"/>
          <w:sz w:val="28"/>
          <w:szCs w:val="28"/>
        </w:rPr>
        <w:t xml:space="preserve"> район» от 20.12.2011 года № 94, </w:t>
      </w:r>
      <w:r w:rsidR="002628A3" w:rsidRPr="00AC0182">
        <w:rPr>
          <w:sz w:val="28"/>
          <w:szCs w:val="28"/>
        </w:rPr>
        <w:t>план работы Контрольно-счетной комиссии МО «</w:t>
      </w:r>
      <w:proofErr w:type="spellStart"/>
      <w:r w:rsidR="002628A3" w:rsidRPr="00AC0182">
        <w:rPr>
          <w:sz w:val="28"/>
          <w:szCs w:val="28"/>
        </w:rPr>
        <w:t>Нукутский</w:t>
      </w:r>
      <w:proofErr w:type="spellEnd"/>
      <w:r w:rsidR="002628A3" w:rsidRPr="00AC0182">
        <w:rPr>
          <w:sz w:val="28"/>
          <w:szCs w:val="28"/>
        </w:rPr>
        <w:t xml:space="preserve"> район» на 2</w:t>
      </w:r>
      <w:r w:rsidR="002628A3">
        <w:rPr>
          <w:sz w:val="28"/>
          <w:szCs w:val="28"/>
        </w:rPr>
        <w:t xml:space="preserve">022 год, </w:t>
      </w:r>
      <w:r w:rsidR="002628A3" w:rsidRPr="00146AB5">
        <w:rPr>
          <w:sz w:val="28"/>
          <w:szCs w:val="28"/>
        </w:rPr>
        <w:t xml:space="preserve"> </w:t>
      </w:r>
      <w:r w:rsidR="002628A3">
        <w:rPr>
          <w:sz w:val="28"/>
          <w:szCs w:val="28"/>
        </w:rPr>
        <w:t xml:space="preserve">задание Прокуратуры </w:t>
      </w:r>
      <w:proofErr w:type="spellStart"/>
      <w:r w:rsidR="002628A3">
        <w:rPr>
          <w:sz w:val="28"/>
          <w:szCs w:val="28"/>
        </w:rPr>
        <w:t>Нукутского</w:t>
      </w:r>
      <w:proofErr w:type="spellEnd"/>
      <w:r w:rsidR="002628A3">
        <w:rPr>
          <w:sz w:val="28"/>
          <w:szCs w:val="28"/>
        </w:rPr>
        <w:t xml:space="preserve"> района от 11.10.2022 г. № 7-23-2022, распоряжение</w:t>
      </w:r>
      <w:r w:rsidR="002628A3" w:rsidRPr="00AC0182">
        <w:rPr>
          <w:sz w:val="28"/>
          <w:szCs w:val="28"/>
        </w:rPr>
        <w:t xml:space="preserve"> на проведение контрольного мероприятия </w:t>
      </w:r>
      <w:r w:rsidR="002628A3">
        <w:rPr>
          <w:sz w:val="28"/>
          <w:szCs w:val="28"/>
        </w:rPr>
        <w:t>от 12 октября 2022 года № 33-П</w:t>
      </w:r>
      <w:r w:rsidR="002628A3" w:rsidRPr="00AC0182">
        <w:rPr>
          <w:sz w:val="28"/>
          <w:szCs w:val="28"/>
        </w:rPr>
        <w:t>.</w:t>
      </w:r>
    </w:p>
    <w:p w:rsidR="002628A3" w:rsidRPr="00B031F0" w:rsidRDefault="008D2307" w:rsidP="008D2307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2628A3" w:rsidRPr="008D2307">
        <w:rPr>
          <w:spacing w:val="-2"/>
          <w:sz w:val="28"/>
          <w:szCs w:val="28"/>
        </w:rPr>
        <w:t xml:space="preserve"> </w:t>
      </w:r>
      <w:r w:rsidR="008576BE">
        <w:rPr>
          <w:spacing w:val="-2"/>
          <w:sz w:val="28"/>
          <w:szCs w:val="28"/>
        </w:rPr>
        <w:t xml:space="preserve">   </w:t>
      </w:r>
      <w:r w:rsidR="002628A3" w:rsidRPr="008D2307">
        <w:rPr>
          <w:spacing w:val="-2"/>
          <w:sz w:val="28"/>
          <w:szCs w:val="28"/>
        </w:rPr>
        <w:t>Проверяемый период деятельности: 2022 год.</w:t>
      </w:r>
    </w:p>
    <w:p w:rsidR="002628A3" w:rsidRDefault="008D2307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8A3">
        <w:rPr>
          <w:sz w:val="28"/>
          <w:szCs w:val="28"/>
        </w:rPr>
        <w:t xml:space="preserve">Оплата труда работников муниципальных учреждений устанавливается </w:t>
      </w:r>
      <w:r w:rsidR="002628A3" w:rsidRPr="008D7553">
        <w:rPr>
          <w:sz w:val="28"/>
          <w:szCs w:val="28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</w:t>
      </w:r>
      <w:r w:rsidR="002628A3">
        <w:rPr>
          <w:sz w:val="28"/>
          <w:szCs w:val="28"/>
        </w:rPr>
        <w:t xml:space="preserve"> (ст. 144 ТК РФ)</w:t>
      </w:r>
      <w:r w:rsidR="002628A3" w:rsidRPr="008D7553">
        <w:rPr>
          <w:sz w:val="28"/>
          <w:szCs w:val="28"/>
        </w:rPr>
        <w:t>.</w:t>
      </w:r>
    </w:p>
    <w:p w:rsidR="002628A3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Положения статьи 136 Бюджетного кодекса РФ позволяют устанавливать: </w:t>
      </w:r>
      <w:r w:rsidRPr="00200220">
        <w:rPr>
          <w:sz w:val="28"/>
          <w:szCs w:val="28"/>
        </w:rPr>
        <w:t>нормативы формирования расходов на о</w:t>
      </w:r>
      <w:r>
        <w:rPr>
          <w:sz w:val="28"/>
          <w:szCs w:val="28"/>
        </w:rPr>
        <w:t xml:space="preserve">плату труда выборных </w:t>
      </w:r>
      <w:r w:rsidRPr="00200220">
        <w:rPr>
          <w:sz w:val="28"/>
          <w:szCs w:val="28"/>
        </w:rPr>
        <w:t>должностных лиц местного самоуправления, осуществляющих свои полномочия на</w:t>
      </w:r>
      <w:r>
        <w:rPr>
          <w:sz w:val="28"/>
          <w:szCs w:val="28"/>
        </w:rPr>
        <w:t xml:space="preserve"> </w:t>
      </w:r>
      <w:r w:rsidRPr="00200220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основе, муниципальных служащих, </w:t>
      </w:r>
      <w:r w:rsidRPr="00200220">
        <w:rPr>
          <w:sz w:val="28"/>
          <w:szCs w:val="28"/>
        </w:rPr>
        <w:t>нормативы формирования расходов</w:t>
      </w:r>
      <w:r>
        <w:rPr>
          <w:sz w:val="28"/>
          <w:szCs w:val="28"/>
        </w:rPr>
        <w:t xml:space="preserve"> на содержание органов местного </w:t>
      </w:r>
      <w:r w:rsidRPr="00200220">
        <w:rPr>
          <w:sz w:val="28"/>
          <w:szCs w:val="28"/>
        </w:rPr>
        <w:t>самоуправления.</w:t>
      </w:r>
    </w:p>
    <w:p w:rsidR="002628A3" w:rsidRDefault="008576BE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8A3">
        <w:rPr>
          <w:sz w:val="28"/>
          <w:szCs w:val="28"/>
        </w:rPr>
        <w:t>В соответствии со  ст.11 Устава МО «</w:t>
      </w:r>
      <w:proofErr w:type="spellStart"/>
      <w:r w:rsidR="002628A3">
        <w:rPr>
          <w:sz w:val="28"/>
          <w:szCs w:val="28"/>
        </w:rPr>
        <w:t>Нукутский</w:t>
      </w:r>
      <w:proofErr w:type="spellEnd"/>
      <w:r w:rsidR="002628A3">
        <w:rPr>
          <w:sz w:val="28"/>
          <w:szCs w:val="28"/>
        </w:rPr>
        <w:t xml:space="preserve"> район» структуру органов местного самоуправления района составляют:</w:t>
      </w:r>
    </w:p>
    <w:p w:rsidR="002628A3" w:rsidRDefault="002628A3" w:rsidP="002628A3">
      <w:pPr>
        <w:pStyle w:val="a3"/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Дума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район»;</w:t>
      </w:r>
    </w:p>
    <w:p w:rsidR="002628A3" w:rsidRDefault="002628A3" w:rsidP="002628A3">
      <w:pPr>
        <w:pStyle w:val="a3"/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район»;</w:t>
      </w:r>
    </w:p>
    <w:p w:rsidR="002628A3" w:rsidRDefault="002628A3" w:rsidP="002628A3">
      <w:pPr>
        <w:pStyle w:val="a3"/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район»;</w:t>
      </w:r>
    </w:p>
    <w:p w:rsidR="002628A3" w:rsidRPr="00E23AEE" w:rsidRDefault="002628A3" w:rsidP="002628A3">
      <w:pPr>
        <w:pStyle w:val="a3"/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</w:t>
      </w:r>
    </w:p>
    <w:p w:rsidR="002628A3" w:rsidRPr="008576BE" w:rsidRDefault="008576BE" w:rsidP="002628A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2628A3" w:rsidRPr="008576BE">
        <w:rPr>
          <w:rFonts w:eastAsia="Times New Roman"/>
          <w:sz w:val="28"/>
          <w:szCs w:val="28"/>
        </w:rPr>
        <w:t>Анализ соответствия нормативной численности работников  Администрации МО «</w:t>
      </w:r>
      <w:proofErr w:type="spellStart"/>
      <w:r w:rsidR="002628A3" w:rsidRPr="008576BE">
        <w:rPr>
          <w:rFonts w:eastAsia="Times New Roman"/>
          <w:sz w:val="28"/>
          <w:szCs w:val="28"/>
        </w:rPr>
        <w:t>Нукутский</w:t>
      </w:r>
      <w:proofErr w:type="spellEnd"/>
      <w:r w:rsidR="002628A3" w:rsidRPr="008576BE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показал следующее:</w:t>
      </w:r>
    </w:p>
    <w:p w:rsidR="002628A3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Норматив численности работников Администрации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2022 год в соответствии с приказом № 57-мпр установлен в количестве 83 шт. единицы, в том числе муниципальные служащие - 61,27 шт. ед., технический персонал – 9,19 шт. ед., вспомогательный персонал – 12,25 шт. ед., согласно распоряжения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14.01.2022 г. № 8 «Об утверждении штатного расписания работников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общая численность штатных единиц составила 77,2 шт. ед. в том числе: муниципальных служащих 59,7 шт. ед., технического персонала 8 шт. ед., вспомогательного персонала – 9,5 шт. ед.,   согласно</w:t>
      </w:r>
      <w:r w:rsidRPr="007A5CC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штатных расписаний  количество штатных единиц  составило 77,2 шт. ед.,  в том числе по муниципальным служащим  – 59,7 шт. ед.,  по техническому  персоналу – 8 шт. ед.,  по вспомогательному персоналу – 9,5 шт. ед., фактически 78,2 шт. ед. в том числе по муниципальным служащим - 60,7 шт. ед.</w:t>
      </w:r>
      <w:r w:rsidRPr="003A679A">
        <w:rPr>
          <w:sz w:val="28"/>
          <w:szCs w:val="28"/>
        </w:rPr>
        <w:t xml:space="preserve"> (</w:t>
      </w:r>
      <w:r>
        <w:rPr>
          <w:sz w:val="28"/>
          <w:szCs w:val="28"/>
        </w:rPr>
        <w:t>должность заместителя руководителя аппарата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по техническому персоналу 8 шт. ед., по вспомогательному персоналу 9,5 шт. ед.,  т.е. не превышает установленный приказом № 57 –</w:t>
      </w:r>
      <w:proofErr w:type="spellStart"/>
      <w:r>
        <w:rPr>
          <w:sz w:val="28"/>
          <w:szCs w:val="28"/>
        </w:rPr>
        <w:t>мпр</w:t>
      </w:r>
      <w:proofErr w:type="spellEnd"/>
      <w:r>
        <w:rPr>
          <w:sz w:val="28"/>
          <w:szCs w:val="28"/>
        </w:rPr>
        <w:t xml:space="preserve"> для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норматив численности. </w:t>
      </w:r>
    </w:p>
    <w:p w:rsidR="002628A3" w:rsidRPr="00A63961" w:rsidRDefault="008576BE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8A3">
        <w:rPr>
          <w:sz w:val="28"/>
          <w:szCs w:val="28"/>
        </w:rPr>
        <w:t>Проверка внесений изменений в структуру Администрации МО «</w:t>
      </w:r>
      <w:proofErr w:type="spellStart"/>
      <w:r w:rsidR="002628A3">
        <w:rPr>
          <w:sz w:val="28"/>
          <w:szCs w:val="28"/>
        </w:rPr>
        <w:t>Нукутский</w:t>
      </w:r>
      <w:proofErr w:type="spellEnd"/>
      <w:r w:rsidR="002628A3">
        <w:rPr>
          <w:sz w:val="28"/>
          <w:szCs w:val="28"/>
        </w:rPr>
        <w:t xml:space="preserve"> район», в штатное расписание Администрации МО «</w:t>
      </w:r>
      <w:proofErr w:type="spellStart"/>
      <w:r w:rsidR="002628A3">
        <w:rPr>
          <w:sz w:val="28"/>
          <w:szCs w:val="28"/>
        </w:rPr>
        <w:t>Нукутский</w:t>
      </w:r>
      <w:proofErr w:type="spellEnd"/>
      <w:r w:rsidR="002628A3">
        <w:rPr>
          <w:sz w:val="28"/>
          <w:szCs w:val="28"/>
        </w:rPr>
        <w:t xml:space="preserve"> район» показала, что Администрацией допущены нарушения: </w:t>
      </w:r>
    </w:p>
    <w:p w:rsidR="002628A3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нарушен п.2 статьи 41 Устава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принятого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03.09.2010 г. № 55 в соответствии с которым структура Администрации района утверждается Думой района по представлению мэра района. Структура администрации утверждена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26 февраля 2020 г. № 13 (в редакции от 27 марта 2020 г. № 26), в течение проверяемого периода изменения в структуру не вносились, но при этом    распоряжением от 23 июня 2022 г. № 220 «О внесении изменений в штатное </w:t>
      </w:r>
      <w:proofErr w:type="gramStart"/>
      <w:r>
        <w:rPr>
          <w:sz w:val="28"/>
          <w:szCs w:val="28"/>
        </w:rPr>
        <w:t>расписание»  «</w:t>
      </w:r>
      <w:proofErr w:type="gramEnd"/>
      <w:r>
        <w:rPr>
          <w:sz w:val="28"/>
          <w:szCs w:val="28"/>
        </w:rPr>
        <w:t>Сектор по кадрам» был переименован в «Отдел кадров» без внесения  соответствующих изменений в структуру Администрации;</w:t>
      </w:r>
    </w:p>
    <w:p w:rsidR="002628A3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ч.2 ст. 74 ТК РФ этим же распоряжением  должность «Заведующий сектором» переименована в должность «Начальник отдела»,   введена должность Заместителя руководителя аппарата Администрации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район». Согласно  ч.2 ст.74 ТК РФ,  если меняются названия структурных подразделений, должностей у уже </w:t>
      </w:r>
      <w:r>
        <w:rPr>
          <w:sz w:val="28"/>
          <w:szCs w:val="28"/>
        </w:rPr>
        <w:lastRenderedPageBreak/>
        <w:t>работающих сотрудников, подобные изменения необходимо утвердить не позднее двух месяцев до предстоящих преобразований и работников, которых коснутся изменения, надо предупредить в письменной форме тоже не менее чем за два месяца. Это означает, что до внесения соответствующих изменений в штатное расписание и трудовые договоры следовало провести ряд мероприятий, предусмотренных ст.74 ТК РФ. В частности, работодатель должен не позднее за два месяца до вводимых изменений письменно уведомить работников о предстоящих изменениях условий их трудовых договоров, а также о причинах вызвавших необходимость таких изменений.   В ходе проверки выявлено, что работники, которых коснулись изменения  в результате принятого распоряжения от 23 июня 2022 г. № 220 не были уведомлены  о предстоящих изменениях, с ними были заключены дополнительные соглашения к трудовому договору  от 27 июня 2022 года, без проведения мероприятий, установленных ч.2 ст.74 ТК РФ.</w:t>
      </w:r>
    </w:p>
    <w:p w:rsidR="002628A3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 в соответствии с подп. 4.1.7 п.4.1. части 4 Инструкции по делопроизводству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(далее-Инструкция), утвержденной распоряжением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21.09.2021 г. № 257 проекты правовых актов, связанные с выделением бюджетных ассигнований, а также влекущие за собой не предусмотренные на текущий год расходы их бюджета, вносятся с пояснительной запиской, содержащей</w:t>
      </w:r>
      <w:r>
        <w:rPr>
          <w:sz w:val="28"/>
          <w:szCs w:val="28"/>
        </w:rPr>
        <w:tab/>
        <w:t xml:space="preserve"> необходимые расчеты, обоснования и прогнозы социально-экономических и иных последствий их реализации, а также  пройти процедуру согласования с руководителями структурных подразделений непосредственно курирующих данное направление.  </w:t>
      </w:r>
    </w:p>
    <w:p w:rsidR="002628A3" w:rsidRPr="00200E28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Проверкой установлено, </w:t>
      </w:r>
      <w:proofErr w:type="gramStart"/>
      <w:r>
        <w:rPr>
          <w:sz w:val="28"/>
          <w:szCs w:val="28"/>
        </w:rPr>
        <w:t>что  Администрацией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были внесены изменения в штатное расписание, введена  должность Заместителя руководителя аппарата Администрации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произведено переименование «Сектора по кадрам»  в «Отдел кадров» и соответственно должность  «Заведующий сектором» переименована в должность «Начальник отдела» (распоряжение № 220 от 23 июня 2022 г.)  без пояснения перемен и без согласования с руководителями структурных подразделений.</w:t>
      </w:r>
    </w:p>
    <w:p w:rsidR="002628A3" w:rsidRPr="00AC5711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 w:rsidRPr="00A5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переименования «Сектора па кадрам» в «Отдел по кадрам» и </w:t>
      </w:r>
      <w:proofErr w:type="gramStart"/>
      <w:r>
        <w:rPr>
          <w:sz w:val="28"/>
          <w:szCs w:val="28"/>
        </w:rPr>
        <w:t>соответственно  должность</w:t>
      </w:r>
      <w:proofErr w:type="gramEnd"/>
      <w:r>
        <w:rPr>
          <w:sz w:val="28"/>
          <w:szCs w:val="28"/>
        </w:rPr>
        <w:t xml:space="preserve"> «Заведующий сектором» в должность «Начальник отдела» произведен перерасчет заработной платы, разница в месяц составила 18205,12 руб., за период с июля по декабрь 2022 г.  -</w:t>
      </w:r>
      <w:r>
        <w:rPr>
          <w:sz w:val="28"/>
          <w:szCs w:val="28"/>
        </w:rPr>
        <w:lastRenderedPageBreak/>
        <w:t>118312,32 руб., в результате введения новой должности Заместителя руководителя аппарата Администрации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заработная плата в месяц составила 61564,80 руб., за перио</w:t>
      </w:r>
      <w:r w:rsidR="008576BE">
        <w:rPr>
          <w:sz w:val="28"/>
          <w:szCs w:val="28"/>
        </w:rPr>
        <w:t xml:space="preserve">д с июля по декабрь 2022 г. </w:t>
      </w:r>
      <w:r>
        <w:rPr>
          <w:sz w:val="28"/>
          <w:szCs w:val="28"/>
        </w:rPr>
        <w:t>- 416505,60 руб., общая сумма дополнительно начисленной заработной платы составила 534817,92 руб. что является дополнительной нагрузкой на бюджет района в 2022 году. Вводить штатные единицы, вносить изменения окладов в действующее штатное расписание допускается за счет и в пределах утвержденного фонда оплаты  труда на текущий финансовый год.</w:t>
      </w:r>
    </w:p>
    <w:p w:rsidR="002628A3" w:rsidRPr="002C0C64" w:rsidRDefault="002628A3" w:rsidP="008576BE">
      <w:pPr>
        <w:tabs>
          <w:tab w:val="left" w:pos="1800"/>
        </w:tabs>
        <w:spacing w:after="0"/>
        <w:jc w:val="both"/>
        <w:rPr>
          <w:sz w:val="28"/>
          <w:szCs w:val="28"/>
        </w:rPr>
      </w:pPr>
      <w:r w:rsidRPr="00586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мнению Контрольно-счетной комиссии 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если правовой акт составлен с нарушением законодательства, то изменения  в штатном расписании могут быть признаны недействительными.  </w:t>
      </w:r>
    </w:p>
    <w:p w:rsidR="002628A3" w:rsidRDefault="002628A3" w:rsidP="008576BE">
      <w:pPr>
        <w:tabs>
          <w:tab w:val="left" w:pos="1800"/>
        </w:tabs>
        <w:spacing w:after="0"/>
        <w:jc w:val="both"/>
        <w:rPr>
          <w:sz w:val="28"/>
          <w:szCs w:val="36"/>
        </w:rPr>
      </w:pPr>
      <w:r>
        <w:rPr>
          <w:b/>
          <w:sz w:val="28"/>
          <w:szCs w:val="36"/>
        </w:rPr>
        <w:t xml:space="preserve">  </w:t>
      </w:r>
      <w:r>
        <w:rPr>
          <w:sz w:val="28"/>
          <w:szCs w:val="36"/>
        </w:rPr>
        <w:t xml:space="preserve">Также установлено, что распоряжение  от 23 июня 2022 г. № 220  «О внесении изменений в штатное расписание» </w:t>
      </w:r>
      <w:r>
        <w:rPr>
          <w:b/>
          <w:sz w:val="28"/>
          <w:szCs w:val="36"/>
        </w:rPr>
        <w:t xml:space="preserve">  </w:t>
      </w:r>
      <w:r w:rsidRPr="002627DC">
        <w:rPr>
          <w:sz w:val="28"/>
          <w:szCs w:val="36"/>
        </w:rPr>
        <w:t>подписано факсимиле</w:t>
      </w:r>
      <w:r>
        <w:rPr>
          <w:sz w:val="28"/>
          <w:szCs w:val="36"/>
        </w:rPr>
        <w:t>. Пунктом 2 статьи 160 Гражданского кодекса РФ ограничена возможность применения факсимиле и касается только заключения гражданско-правовых сделок.  В ходе проведения проверки были запрошены внутренние документы, регламентирующие использование факсимиле вместо собственноручной подписи, указанный документ на</w:t>
      </w:r>
      <w:r w:rsidRPr="004C7E5B">
        <w:rPr>
          <w:sz w:val="28"/>
          <w:szCs w:val="36"/>
        </w:rPr>
        <w:t xml:space="preserve"> </w:t>
      </w:r>
      <w:r>
        <w:rPr>
          <w:sz w:val="28"/>
          <w:szCs w:val="36"/>
        </w:rPr>
        <w:t>проверку</w:t>
      </w:r>
      <w:r w:rsidRPr="004C7E5B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не  представлен.</w:t>
      </w:r>
    </w:p>
    <w:p w:rsidR="002628A3" w:rsidRPr="00B53C77" w:rsidRDefault="008576BE" w:rsidP="008C2815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2628A3" w:rsidRPr="008576BE">
        <w:rPr>
          <w:rFonts w:eastAsia="Times New Roman"/>
          <w:sz w:val="28"/>
          <w:szCs w:val="28"/>
        </w:rPr>
        <w:t xml:space="preserve"> Анализ соответствия нормативной численности работников Думы МО «</w:t>
      </w:r>
      <w:proofErr w:type="spellStart"/>
      <w:r w:rsidR="002628A3" w:rsidRPr="008576BE">
        <w:rPr>
          <w:rFonts w:eastAsia="Times New Roman"/>
          <w:sz w:val="28"/>
          <w:szCs w:val="28"/>
        </w:rPr>
        <w:t>Нукутский</w:t>
      </w:r>
      <w:proofErr w:type="spellEnd"/>
      <w:r w:rsidR="002628A3" w:rsidRPr="008576BE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показал, что</w:t>
      </w:r>
      <w:r w:rsidR="002628A3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в</w:t>
      </w:r>
      <w:r w:rsidR="002628A3">
        <w:rPr>
          <w:rFonts w:eastAsia="Times New Roman"/>
          <w:sz w:val="28"/>
          <w:szCs w:val="28"/>
        </w:rPr>
        <w:t xml:space="preserve"> соответствии с частью 4 статьи 24 Устава района Дума может формировать технический аппарат, самостоятельно решать вопросы о его структуре и численности. Структура Думы утверждена на основании статьи 4 Регламента Думы, утвержденного решением Думы МО «</w:t>
      </w:r>
      <w:proofErr w:type="spellStart"/>
      <w:r w:rsidR="002628A3">
        <w:rPr>
          <w:rFonts w:eastAsia="Times New Roman"/>
          <w:sz w:val="28"/>
          <w:szCs w:val="28"/>
        </w:rPr>
        <w:t>Нукутский</w:t>
      </w:r>
      <w:proofErr w:type="spellEnd"/>
      <w:r w:rsidR="002628A3">
        <w:rPr>
          <w:rFonts w:eastAsia="Times New Roman"/>
          <w:sz w:val="28"/>
          <w:szCs w:val="28"/>
        </w:rPr>
        <w:t xml:space="preserve"> район» от 27 мая 2016 года № 37.</w:t>
      </w:r>
      <w:r w:rsidR="002628A3">
        <w:rPr>
          <w:rFonts w:eastAsia="Times New Roman"/>
          <w:b/>
          <w:sz w:val="28"/>
          <w:szCs w:val="28"/>
        </w:rPr>
        <w:t xml:space="preserve">   </w:t>
      </w:r>
    </w:p>
    <w:p w:rsidR="008C2815" w:rsidRDefault="002628A3" w:rsidP="008C2815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 численности работников Думы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2022 год в соответствии с приказом № 57-мпр установлен в количестве 1 шт. ед., в том числе: муниципальных служащих -1шт. ед. Фактически штатная численность согласно представленного на проверку штатного расписания  составляет 1,5 шт. ед. в том числе: муниципальные служащие- 1 шт. ед., тех. персонал – 0,5 шт. ед. Штатная единица по тех. персоналу  в размере 0,5 ш. ед. передана на основании соглашения № 14 от 27 августа 2015 г. «О передаче Контрольно-счетной комиссией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в Думу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норматива численности» (п.17 гл.2 методических рекомендаций по определению численности работников органов местного </w:t>
      </w:r>
      <w:proofErr w:type="gramStart"/>
      <w:r>
        <w:rPr>
          <w:sz w:val="28"/>
          <w:szCs w:val="28"/>
        </w:rPr>
        <w:t>самоуправления  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образования Иркутской области, утв. Приказом Министерства труда и занятости Иркутской области от 14 октября 2013 г. № 57-мпр).</w:t>
      </w:r>
    </w:p>
    <w:p w:rsidR="002628A3" w:rsidRDefault="002628A3" w:rsidP="008C2815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проверке штатного расписания  установлено,  что консультанту Логиновой И.Ю.  надбавка за классный чин не соответствует  фактически присвоенному классному чину.</w:t>
      </w:r>
    </w:p>
    <w:p w:rsidR="002628A3" w:rsidRDefault="002628A3" w:rsidP="008C2815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Администрации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 от 17 июня 2005 года № 214 «О присвоении квалификационных </w:t>
      </w:r>
      <w:proofErr w:type="gramStart"/>
      <w:r>
        <w:rPr>
          <w:sz w:val="28"/>
          <w:szCs w:val="28"/>
        </w:rPr>
        <w:t>разрядов»  Логиновой</w:t>
      </w:r>
      <w:proofErr w:type="gramEnd"/>
      <w:r>
        <w:rPr>
          <w:sz w:val="28"/>
          <w:szCs w:val="28"/>
        </w:rPr>
        <w:t xml:space="preserve"> И.Ю. присвоен квалификационный разряд главный муниципальный советник 3 класса, что в соотношении с муниципальной службой – действительный </w:t>
      </w:r>
      <w:proofErr w:type="spellStart"/>
      <w:r>
        <w:rPr>
          <w:sz w:val="28"/>
          <w:szCs w:val="28"/>
        </w:rPr>
        <w:t>муниципвальный</w:t>
      </w:r>
      <w:proofErr w:type="spellEnd"/>
      <w:r>
        <w:rPr>
          <w:sz w:val="28"/>
          <w:szCs w:val="28"/>
        </w:rPr>
        <w:t xml:space="preserve">  советник Иркутской области 3 класса с окладом 2893,0 руб., фактически установлен – </w:t>
      </w:r>
      <w:proofErr w:type="spellStart"/>
      <w:r>
        <w:rPr>
          <w:sz w:val="28"/>
          <w:szCs w:val="28"/>
        </w:rPr>
        <w:t>муницйипальный</w:t>
      </w:r>
      <w:proofErr w:type="spellEnd"/>
      <w:r>
        <w:rPr>
          <w:sz w:val="28"/>
          <w:szCs w:val="28"/>
        </w:rPr>
        <w:t xml:space="preserve"> советник Иркутской области 3 класса с окладом 2279,0 руб.</w:t>
      </w:r>
    </w:p>
    <w:p w:rsidR="002628A3" w:rsidRDefault="002628A3" w:rsidP="008C2815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0C6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 ст. 5.7. Закона Иркутской области   от 15.10.2007 № 88-оз  «Об отдельных вопросах муниципальной службы в Иркутской области»  присвоенный классный чин сохраняется за муниципальным служащим при переводе на иную должность муниципальной службы, при увольнении с муниципальной службы, а также при поступлении на муниципальную службу вновь. В случае замещения муниципальным служащим иной должности муниципальной  службы, которая относится к более низкой группе должностей муниципальной службы, ранее присвоенный классный чин сохраняется до присвоения ему в установленном порядке более высокого классного чина.</w:t>
      </w:r>
    </w:p>
    <w:p w:rsidR="002628A3" w:rsidRDefault="002628A3" w:rsidP="008C2815">
      <w:pPr>
        <w:tabs>
          <w:tab w:val="left" w:pos="18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ТК РФ, если работнику было  начислено и выплачено по факту меньше, чем положено, работодатель должен исправить недочет и перечислить деньги. Причем никакого дополнительного согласия от работника на перерасчет в большую сторону не требуется. Основанием для перерасчета является приказ (распоряжение) руководителя. Юридический срок давности  перерасчета составляет три года. </w:t>
      </w:r>
    </w:p>
    <w:p w:rsidR="002628A3" w:rsidRPr="008C2815" w:rsidRDefault="008C2815" w:rsidP="008C2815">
      <w:pPr>
        <w:tabs>
          <w:tab w:val="left" w:pos="180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8A3">
        <w:rPr>
          <w:sz w:val="28"/>
          <w:szCs w:val="28"/>
        </w:rPr>
        <w:t xml:space="preserve"> </w:t>
      </w:r>
      <w:r w:rsidR="002628A3" w:rsidRPr="008C2815">
        <w:rPr>
          <w:rFonts w:eastAsia="Times New Roman"/>
          <w:sz w:val="28"/>
          <w:szCs w:val="28"/>
        </w:rPr>
        <w:t xml:space="preserve">Анализ соответствия нормативной численности работников органов местного самоуправления сельских поселений </w:t>
      </w:r>
      <w:proofErr w:type="spellStart"/>
      <w:r w:rsidR="002628A3" w:rsidRPr="008C2815">
        <w:rPr>
          <w:rFonts w:eastAsia="Times New Roman"/>
          <w:sz w:val="28"/>
          <w:szCs w:val="28"/>
        </w:rPr>
        <w:t>Нукутского</w:t>
      </w:r>
      <w:proofErr w:type="spellEnd"/>
      <w:r w:rsidR="002628A3" w:rsidRPr="008C2815">
        <w:rPr>
          <w:rFonts w:eastAsia="Times New Roman"/>
          <w:sz w:val="28"/>
          <w:szCs w:val="28"/>
        </w:rPr>
        <w:t xml:space="preserve"> района</w:t>
      </w:r>
    </w:p>
    <w:p w:rsidR="002628A3" w:rsidRDefault="008C2815" w:rsidP="008C281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2628A3">
        <w:rPr>
          <w:rFonts w:eastAsia="Times New Roman"/>
          <w:sz w:val="28"/>
          <w:szCs w:val="28"/>
        </w:rPr>
        <w:t xml:space="preserve">В соответствии со ст. 37 Федерального закона от 6.10.2003 г. № 131-ФЗ «Об общих принципах организации местного самоуправления в Российской Федерации», ст. 38 Уставов сельских поселений, структура местной администрации утверждается представительным органом муниципального образования по представлению главы местной администрации. Во всех сельских поселениях </w:t>
      </w:r>
      <w:proofErr w:type="spellStart"/>
      <w:r w:rsidR="002628A3">
        <w:rPr>
          <w:rFonts w:eastAsia="Times New Roman"/>
          <w:sz w:val="28"/>
          <w:szCs w:val="28"/>
        </w:rPr>
        <w:t>Нукутского</w:t>
      </w:r>
      <w:proofErr w:type="spellEnd"/>
      <w:r w:rsidR="002628A3">
        <w:rPr>
          <w:rFonts w:eastAsia="Times New Roman"/>
          <w:sz w:val="28"/>
          <w:szCs w:val="28"/>
        </w:rPr>
        <w:t xml:space="preserve"> района, структуры администраций утверждены решениями дум соответствующих муниципальных образований. </w:t>
      </w:r>
      <w:r w:rsidR="002628A3">
        <w:rPr>
          <w:rFonts w:eastAsia="Times New Roman"/>
          <w:sz w:val="28"/>
          <w:szCs w:val="28"/>
        </w:rPr>
        <w:lastRenderedPageBreak/>
        <w:t xml:space="preserve">Однако, структура муниципального образования «Целинный» требует внесения изменений, поскольку не имеет в своем составе структурных подразделений и отдельных должностей, не входящих в состав структурных подразделений. Также проверка показала, что должности в штатных расписаниях сельских поселений соответствуют должностям, утвержденным в структурах администраций муниципальных образований (кроме МО «Целинный»).                                                        </w:t>
      </w:r>
    </w:p>
    <w:p w:rsidR="002628A3" w:rsidRDefault="008C2815" w:rsidP="008C281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628A3">
        <w:rPr>
          <w:rFonts w:eastAsia="Times New Roman"/>
          <w:sz w:val="28"/>
          <w:szCs w:val="28"/>
        </w:rPr>
        <w:t>Органы местного самоуправления формируют штатные расписания, устанавливаю</w:t>
      </w:r>
      <w:r w:rsidR="002628A3" w:rsidRPr="004E009E">
        <w:rPr>
          <w:rFonts w:eastAsia="Times New Roman"/>
          <w:sz w:val="28"/>
          <w:szCs w:val="28"/>
        </w:rPr>
        <w:t>т перечень должностей работников и количество штатных единиц исходя из своих потребностей</w:t>
      </w:r>
      <w:r w:rsidR="002628A3">
        <w:rPr>
          <w:rFonts w:eastAsia="Times New Roman"/>
          <w:sz w:val="28"/>
          <w:szCs w:val="28"/>
        </w:rPr>
        <w:t xml:space="preserve"> с учетом нормативов</w:t>
      </w:r>
      <w:r w:rsidR="002628A3" w:rsidRPr="008A238C">
        <w:rPr>
          <w:sz w:val="28"/>
          <w:szCs w:val="28"/>
        </w:rPr>
        <w:t xml:space="preserve"> </w:t>
      </w:r>
      <w:r w:rsidR="002628A3" w:rsidRPr="008A238C">
        <w:rPr>
          <w:rFonts w:eastAsia="Times New Roman"/>
          <w:sz w:val="28"/>
          <w:szCs w:val="28"/>
        </w:rPr>
        <w:t>численности работников органов местного самоуправления, рассчитанных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области, утвержденными приказом министерства труда и занятости Иркутской области от 14.10.2013 г. № 57-мпр (в редакции от 8.02.2022 года № 4-мпр)</w:t>
      </w:r>
      <w:r w:rsidR="002628A3">
        <w:rPr>
          <w:rFonts w:eastAsia="Times New Roman"/>
          <w:sz w:val="28"/>
          <w:szCs w:val="28"/>
        </w:rPr>
        <w:t xml:space="preserve"> (далее – Методические рекомендации)</w:t>
      </w:r>
      <w:r w:rsidR="002628A3" w:rsidRPr="008A238C">
        <w:rPr>
          <w:rFonts w:eastAsia="Times New Roman"/>
          <w:sz w:val="28"/>
          <w:szCs w:val="28"/>
        </w:rPr>
        <w:t>.</w:t>
      </w:r>
      <w:r w:rsidR="002628A3">
        <w:rPr>
          <w:rFonts w:eastAsia="Times New Roman"/>
          <w:sz w:val="28"/>
          <w:szCs w:val="28"/>
        </w:rPr>
        <w:t xml:space="preserve"> В таблице 1 представлен анализ </w:t>
      </w:r>
      <w:r w:rsidR="002628A3">
        <w:rPr>
          <w:sz w:val="28"/>
          <w:szCs w:val="28"/>
        </w:rPr>
        <w:t xml:space="preserve">нормативной численности работников органов местного самоуправления сельских поселений </w:t>
      </w:r>
      <w:proofErr w:type="spellStart"/>
      <w:r w:rsidR="002628A3">
        <w:rPr>
          <w:sz w:val="28"/>
          <w:szCs w:val="28"/>
        </w:rPr>
        <w:t>Нукутского</w:t>
      </w:r>
      <w:proofErr w:type="spellEnd"/>
      <w:r w:rsidR="002628A3">
        <w:rPr>
          <w:sz w:val="28"/>
          <w:szCs w:val="28"/>
        </w:rPr>
        <w:t xml:space="preserve"> района </w:t>
      </w:r>
      <w:proofErr w:type="gramStart"/>
      <w:r w:rsidR="002628A3">
        <w:rPr>
          <w:sz w:val="28"/>
          <w:szCs w:val="28"/>
        </w:rPr>
        <w:t>на  2022</w:t>
      </w:r>
      <w:proofErr w:type="gramEnd"/>
      <w:r w:rsidR="002628A3">
        <w:rPr>
          <w:sz w:val="28"/>
          <w:szCs w:val="28"/>
        </w:rPr>
        <w:t xml:space="preserve"> год.</w:t>
      </w:r>
    </w:p>
    <w:tbl>
      <w:tblPr>
        <w:tblStyle w:val="a4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850"/>
        <w:gridCol w:w="1134"/>
        <w:gridCol w:w="851"/>
        <w:gridCol w:w="671"/>
        <w:gridCol w:w="888"/>
        <w:gridCol w:w="1134"/>
        <w:gridCol w:w="851"/>
        <w:gridCol w:w="709"/>
        <w:gridCol w:w="850"/>
      </w:tblGrid>
      <w:tr w:rsidR="002628A3" w:rsidRPr="00431A5A" w:rsidTr="00FE7A4B">
        <w:tc>
          <w:tcPr>
            <w:tcW w:w="1815" w:type="dxa"/>
            <w:vMerge w:val="restart"/>
          </w:tcPr>
          <w:p w:rsidR="002628A3" w:rsidRPr="00431A5A" w:rsidRDefault="002628A3" w:rsidP="00FE7A4B">
            <w:pPr>
              <w:jc w:val="center"/>
            </w:pPr>
            <w:r w:rsidRPr="00431A5A">
              <w:t>Наименование муниципального образования</w:t>
            </w:r>
          </w:p>
        </w:tc>
        <w:tc>
          <w:tcPr>
            <w:tcW w:w="3506" w:type="dxa"/>
            <w:gridSpan w:val="4"/>
          </w:tcPr>
          <w:p w:rsidR="002628A3" w:rsidRPr="00431A5A" w:rsidRDefault="002628A3" w:rsidP="00FE7A4B">
            <w:pPr>
              <w:tabs>
                <w:tab w:val="left" w:pos="630"/>
              </w:tabs>
              <w:jc w:val="center"/>
            </w:pPr>
            <w:r w:rsidRPr="00431A5A">
              <w:t>Норматив численности работников ОМС</w:t>
            </w:r>
          </w:p>
        </w:tc>
        <w:tc>
          <w:tcPr>
            <w:tcW w:w="3582" w:type="dxa"/>
            <w:gridSpan w:val="4"/>
          </w:tcPr>
          <w:p w:rsidR="002628A3" w:rsidRPr="00431A5A" w:rsidRDefault="002628A3" w:rsidP="00FE7A4B">
            <w:pPr>
              <w:jc w:val="center"/>
            </w:pPr>
            <w:r w:rsidRPr="00431A5A">
              <w:t>Фактическая численность работников ОМС</w:t>
            </w:r>
          </w:p>
        </w:tc>
        <w:tc>
          <w:tcPr>
            <w:tcW w:w="850" w:type="dxa"/>
            <w:vMerge w:val="restart"/>
          </w:tcPr>
          <w:p w:rsidR="002628A3" w:rsidRPr="00431A5A" w:rsidRDefault="002628A3" w:rsidP="00FE7A4B">
            <w:pPr>
              <w:jc w:val="center"/>
            </w:pPr>
            <w:r w:rsidRPr="00431A5A">
              <w:t>Превышение норматива численности работников ОМС</w:t>
            </w:r>
          </w:p>
        </w:tc>
      </w:tr>
      <w:tr w:rsidR="002628A3" w:rsidRPr="00431A5A" w:rsidTr="00FE7A4B">
        <w:tc>
          <w:tcPr>
            <w:tcW w:w="1815" w:type="dxa"/>
            <w:vMerge/>
          </w:tcPr>
          <w:p w:rsidR="002628A3" w:rsidRPr="00431A5A" w:rsidRDefault="002628A3" w:rsidP="00FE7A4B">
            <w:pPr>
              <w:jc w:val="center"/>
            </w:pP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 w:rsidRPr="00431A5A">
              <w:t>муниципальные служащие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 w:rsidRPr="00431A5A">
              <w:t>технический персонал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 w:rsidRPr="00431A5A">
              <w:t>вспомогательный персонал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 w:rsidRPr="00431A5A">
              <w:t>всего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 w:rsidRPr="00431A5A">
              <w:t>муниципальные служащие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 w:rsidRPr="00431A5A">
              <w:t>технический персонал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 w:rsidRPr="00431A5A">
              <w:t>вспомогательный персонал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 w:rsidRPr="00431A5A">
              <w:t>всего</w:t>
            </w:r>
          </w:p>
        </w:tc>
        <w:tc>
          <w:tcPr>
            <w:tcW w:w="850" w:type="dxa"/>
            <w:vMerge/>
          </w:tcPr>
          <w:p w:rsidR="002628A3" w:rsidRPr="00431A5A" w:rsidRDefault="002628A3" w:rsidP="00FE7A4B">
            <w:pPr>
              <w:jc w:val="center"/>
            </w:pP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Новонукутское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8,12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15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Шаратское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Хареты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7,5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Хадахан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8,0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16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3,0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«Нукуты»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3,0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Новоленино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2,75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7,25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«Целинный»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Алтарик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</w:t>
            </w:r>
            <w:proofErr w:type="spellStart"/>
            <w:r>
              <w:t>Закулей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5,23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4,0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1,65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6,85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  <w:tr w:rsidR="002628A3" w:rsidRPr="00431A5A" w:rsidTr="00FE7A4B">
        <w:tc>
          <w:tcPr>
            <w:tcW w:w="1815" w:type="dxa"/>
          </w:tcPr>
          <w:p w:rsidR="002628A3" w:rsidRPr="00431A5A" w:rsidRDefault="002628A3" w:rsidP="00FE7A4B">
            <w:r>
              <w:t>МО «Первомайское»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4,36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8,0</w:t>
            </w:r>
          </w:p>
        </w:tc>
        <w:tc>
          <w:tcPr>
            <w:tcW w:w="671" w:type="dxa"/>
          </w:tcPr>
          <w:p w:rsidR="002628A3" w:rsidRPr="00431A5A" w:rsidRDefault="002628A3" w:rsidP="00FE7A4B">
            <w:pPr>
              <w:jc w:val="center"/>
            </w:pPr>
            <w:r>
              <w:t>15</w:t>
            </w:r>
          </w:p>
        </w:tc>
        <w:tc>
          <w:tcPr>
            <w:tcW w:w="888" w:type="dxa"/>
          </w:tcPr>
          <w:p w:rsidR="002628A3" w:rsidRPr="00431A5A" w:rsidRDefault="002628A3" w:rsidP="00FE7A4B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2628A3" w:rsidRPr="00431A5A" w:rsidRDefault="002628A3" w:rsidP="00FE7A4B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628A3" w:rsidRPr="00431A5A" w:rsidRDefault="002628A3" w:rsidP="00FE7A4B">
            <w:pPr>
              <w:jc w:val="center"/>
            </w:pPr>
            <w:r>
              <w:t>2,0</w:t>
            </w:r>
          </w:p>
        </w:tc>
        <w:tc>
          <w:tcPr>
            <w:tcW w:w="709" w:type="dxa"/>
          </w:tcPr>
          <w:p w:rsidR="002628A3" w:rsidRPr="00431A5A" w:rsidRDefault="002628A3" w:rsidP="00FE7A4B">
            <w:pPr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2628A3" w:rsidRPr="00431A5A" w:rsidRDefault="002628A3" w:rsidP="00FE7A4B">
            <w:pPr>
              <w:jc w:val="center"/>
            </w:pPr>
            <w:r>
              <w:t>-</w:t>
            </w:r>
          </w:p>
        </w:tc>
      </w:tr>
    </w:tbl>
    <w:p w:rsidR="002628A3" w:rsidRDefault="002628A3" w:rsidP="0026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данных таблицы 1 следует, что в сельских поселениях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 не наблюдается превышение нормативов</w:t>
      </w:r>
      <w:r w:rsidRPr="00B4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работников органов местного самоуправления, рассчитанных в соответствии с </w:t>
      </w:r>
      <w:r w:rsidRPr="008A238C">
        <w:rPr>
          <w:rFonts w:eastAsia="Times New Roman"/>
          <w:sz w:val="28"/>
          <w:szCs w:val="28"/>
        </w:rPr>
        <w:t xml:space="preserve">Методическими рекомендациями по определению численности работников </w:t>
      </w:r>
      <w:r w:rsidRPr="008A238C">
        <w:rPr>
          <w:rFonts w:eastAsia="Times New Roman"/>
          <w:sz w:val="28"/>
          <w:szCs w:val="28"/>
        </w:rPr>
        <w:lastRenderedPageBreak/>
        <w:t>органов местного самоуправления муниципального образования Иркутской области, утвержденными приказом министерства труда и занятости Иркутской области от 14.10.2013 г. № 57-мпр (в редакции от 8.02.2022 года № 4-мпр)</w:t>
      </w:r>
      <w:r>
        <w:rPr>
          <w:sz w:val="28"/>
          <w:szCs w:val="28"/>
        </w:rPr>
        <w:t>.</w:t>
      </w:r>
    </w:p>
    <w:p w:rsidR="002628A3" w:rsidRDefault="002628A3" w:rsidP="002628A3">
      <w:pPr>
        <w:ind w:firstLine="709"/>
        <w:jc w:val="both"/>
        <w:rPr>
          <w:sz w:val="28"/>
          <w:szCs w:val="28"/>
        </w:rPr>
      </w:pPr>
    </w:p>
    <w:p w:rsidR="002628A3" w:rsidRDefault="002628A3" w:rsidP="002628A3">
      <w:pPr>
        <w:jc w:val="both"/>
        <w:rPr>
          <w:sz w:val="28"/>
          <w:szCs w:val="36"/>
        </w:rPr>
      </w:pPr>
    </w:p>
    <w:p w:rsidR="002628A3" w:rsidRDefault="002628A3" w:rsidP="002628A3">
      <w:pPr>
        <w:jc w:val="both"/>
        <w:rPr>
          <w:sz w:val="28"/>
          <w:szCs w:val="36"/>
        </w:rPr>
      </w:pPr>
    </w:p>
    <w:sectPr w:rsidR="002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3566C"/>
    <w:multiLevelType w:val="hybridMultilevel"/>
    <w:tmpl w:val="5388E24E"/>
    <w:lvl w:ilvl="0" w:tplc="315C1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EA19D0"/>
    <w:multiLevelType w:val="hybridMultilevel"/>
    <w:tmpl w:val="16F4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350C"/>
    <w:multiLevelType w:val="hybridMultilevel"/>
    <w:tmpl w:val="0130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0D7417"/>
    <w:rsid w:val="0014450E"/>
    <w:rsid w:val="001D085B"/>
    <w:rsid w:val="001F6FB3"/>
    <w:rsid w:val="002628A3"/>
    <w:rsid w:val="002F3911"/>
    <w:rsid w:val="003377C4"/>
    <w:rsid w:val="003639FB"/>
    <w:rsid w:val="00407AC7"/>
    <w:rsid w:val="004A2F3A"/>
    <w:rsid w:val="004A47CD"/>
    <w:rsid w:val="004B6B0A"/>
    <w:rsid w:val="00673080"/>
    <w:rsid w:val="00847E92"/>
    <w:rsid w:val="008576BE"/>
    <w:rsid w:val="0086179E"/>
    <w:rsid w:val="00877257"/>
    <w:rsid w:val="008A085F"/>
    <w:rsid w:val="008C2815"/>
    <w:rsid w:val="008D2307"/>
    <w:rsid w:val="0095588B"/>
    <w:rsid w:val="0099703A"/>
    <w:rsid w:val="009D2455"/>
    <w:rsid w:val="00A93624"/>
    <w:rsid w:val="00AF4D7A"/>
    <w:rsid w:val="00B61715"/>
    <w:rsid w:val="00B8405B"/>
    <w:rsid w:val="00C500AA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D73A"/>
  <w15:docId w15:val="{6B2252B7-B0AA-4846-A678-2F90032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85F"/>
    <w:pPr>
      <w:ind w:left="720"/>
      <w:contextualSpacing/>
    </w:pPr>
  </w:style>
  <w:style w:type="table" w:styleId="a4">
    <w:name w:val="Table Grid"/>
    <w:basedOn w:val="a1"/>
    <w:uiPriority w:val="39"/>
    <w:rsid w:val="002628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13</cp:revision>
  <cp:lastPrinted>2022-05-05T04:00:00Z</cp:lastPrinted>
  <dcterms:created xsi:type="dcterms:W3CDTF">2022-10-03T02:57:00Z</dcterms:created>
  <dcterms:modified xsi:type="dcterms:W3CDTF">2022-11-10T02:02:00Z</dcterms:modified>
</cp:coreProperties>
</file>